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</w:t>
      </w:r>
      <w:r>
        <w:rPr>
          <w:sz w:val="20"/>
          <w:szCs w:val="20"/>
        </w:rPr>
        <w:t xml:space="preserve">10 к договору подряда №_______________ от ___________</w:t>
      </w:r>
      <w:r>
        <w:rPr>
          <w:sz w:val="20"/>
          <w:szCs w:val="20"/>
        </w:rPr>
      </w:r>
    </w:p>
    <w:p>
      <w:pPr>
        <w:ind w:firstLine="70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8"/>
        <w:jc w:val="center"/>
        <w:rPr>
          <w:b/>
        </w:rPr>
      </w:pPr>
      <w:r>
        <w:rPr>
          <w:b/>
        </w:rPr>
        <w:t xml:space="preserve">Порядок представления и согласования исполнительной документации на выполненные работы 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>
        <w:t xml:space="preserve">Документ определяет порядок взаимодействия заказчика (филиалы </w:t>
      </w:r>
      <w:r>
        <w:br w:type="textWrapping" w:clear="all"/>
        <w:t xml:space="preserve">или подконтрольные организации</w:t>
      </w:r>
      <w:r>
        <w:rPr>
          <w:rStyle w:val="949"/>
        </w:rPr>
        <w:footnoteReference w:id="2"/>
      </w:r>
      <w:r>
        <w:t xml:space="preserve"> Группы РусГидро), технического заказчика (агент или иная организация, </w:t>
      </w:r>
      <w:r>
        <w:t xml:space="preserve">действующая на основании агентского договора, заключенного с заказчиком), подрядчика (генеральный подрядчик или иная подрядная организация, действующая в качестве лица, осуществляющего строительство на основании договора подряда, заключенного с заказчиком </w:t>
      </w:r>
      <w:r>
        <w:br w:type="textWrapping" w:clear="all"/>
        <w:t xml:space="preserve">или с техническим заказчиком)</w:t>
      </w:r>
      <w:r>
        <w:rPr>
          <w:rStyle w:val="949"/>
        </w:rPr>
        <w:footnoteReference w:id="3"/>
      </w:r>
      <w:r>
        <w:t xml:space="preserve"> при согласовании и приемке исполнительной документации</w:t>
      </w:r>
      <w:r>
        <w:rPr>
          <w:rStyle w:val="949"/>
        </w:rPr>
        <w:footnoteReference w:id="4"/>
      </w:r>
      <w:r>
        <w:t xml:space="preserve"> в ходе реализации инвестиционных проектов строительства, технического перевооружения и реконструкции объектов Группы РусГидро.</w:t>
      </w:r>
      <w:r/>
    </w:p>
    <w:p>
      <w:pPr>
        <w:ind w:firstLine="708"/>
        <w:jc w:val="both"/>
      </w:pPr>
      <w:r>
        <w:t xml:space="preserve">Приемка у Подрядчика выполненных работ с оформлением </w:t>
      </w:r>
      <w:r>
        <w:br w:type="textWrapping" w:clear="all"/>
        <w:t xml:space="preserve">и подписанием унифицированной формы КС-2 или подписанием акта освид</w:t>
      </w:r>
      <w:r>
        <w:t xml:space="preserve">етельствования выполненных работ осуществляется при условии надлежащего оформления и предъявления Подрядчиком полного комплекта ИД в соответствии с применимыми требованиями нормативного-технической документации и законодательства в отношении предъявляемых </w:t>
      </w:r>
      <w:r>
        <w:br w:type="textWrapping" w:clear="all"/>
        <w:t xml:space="preserve">к сдаче-приемке работ. В ходе сдачи-приемки Подрядчиком работ сформированные им комплекты исполнительной документации размещаются</w:t>
      </w:r>
      <w:r>
        <w:rPr>
          <w:rStyle w:val="949"/>
        </w:rPr>
        <w:footnoteReference w:id="5"/>
      </w:r>
      <w:r>
        <w:t xml:space="preserve"> </w:t>
      </w:r>
      <w:r>
        <w:br w:type="textWrapping" w:clear="all"/>
        <w:t xml:space="preserve">в соответствующем разделе на сетевом ресурсе Группы РусГидро.</w:t>
      </w:r>
      <w:r/>
    </w:p>
    <w:p>
      <w:pPr>
        <w:ind w:firstLine="708"/>
        <w:jc w:val="both"/>
      </w:pPr>
      <w:r>
        <w:t xml:space="preserve">Доступ Техническому заказчику, Подрядчику, а также представителю проектировщика, осуществляющего авторский надзор, к сетевому ресурсу предоставляется Заказчиком или ПАО «РусГидро».</w:t>
      </w:r>
      <w:r/>
    </w:p>
    <w:p>
      <w:pPr>
        <w:ind w:firstLine="708"/>
        <w:jc w:val="both"/>
      </w:pPr>
      <w:r>
        <w:t xml:space="preserve">Подрядчик размещает на сетевом ресурсе в соответствующем разделе комплекты ИД и реестр ИД (далее – Реестр), в котором помимо принадле</w:t>
      </w:r>
      <w:r>
        <w:t xml:space="preserve">жности комплекта ИД и наименования документов отображается информация о дате размещения, наличии замечаний, сроках устранения замечаний, отметках о согласовании по каждому комплекту ИД. Формы Реестров для соответствующих разделов представлены в приложении </w:t>
      </w:r>
      <w:r>
        <w:t xml:space="preserve"> </w:t>
      </w:r>
      <w:r>
        <w:t xml:space="preserve">к настоящему Порядку. </w:t>
      </w:r>
      <w:r/>
    </w:p>
    <w:p>
      <w:pPr>
        <w:ind w:firstLine="708"/>
        <w:jc w:val="both"/>
      </w:pPr>
      <w:r>
        <w:t xml:space="preserve">В случае привлечения Подрядчиком к оформлению и размещению </w:t>
      </w:r>
      <w:r>
        <w:br w:type="textWrapping" w:clear="all"/>
        <w:t xml:space="preserve">на сетевом ресурсе документов комплекта ИД субподрядных организаций </w:t>
      </w:r>
      <w:r>
        <w:t xml:space="preserve">ответственность за своевременность размещения, полноту и надлежащее оформление каждого комплекта ИД возлагается на Подрядчика. Действия </w:t>
      </w:r>
      <w:r>
        <w:br w:type="textWrapping" w:clear="all"/>
        <w:t xml:space="preserve">по выдаче и устранению замечаний к ИД, согласованию комплектов ИД Техническим заказчиком должны находить свое отражение в Реестре и быть доступны для просмотра и контроля Заказчику.</w:t>
      </w:r>
      <w:r/>
    </w:p>
    <w:p>
      <w:pPr>
        <w:ind w:firstLine="708"/>
        <w:jc w:val="both"/>
      </w:pPr>
      <w:r>
        <w:t xml:space="preserve">По факту оформления и размещения на сетевом ресурсе комплекта ИД Подрядчик уведомляет Технического заказчика</w:t>
      </w:r>
      <w:r>
        <w:rPr>
          <w:rStyle w:val="949"/>
        </w:rPr>
        <w:footnoteReference w:id="6"/>
      </w:r>
      <w:r>
        <w:t xml:space="preserve"> о готовности комплекта ИД </w:t>
      </w:r>
      <w:r>
        <w:br w:type="textWrapping" w:clear="all"/>
        <w:t xml:space="preserve">и необходимости его проверки.</w:t>
      </w:r>
      <w:r/>
    </w:p>
    <w:p>
      <w:pPr>
        <w:ind w:firstLine="708"/>
        <w:jc w:val="both"/>
      </w:pPr>
      <w:r>
        <w:t xml:space="preserve">Технический заказчик (см. сноску 5) в течение 5 (пяти) рабочих дней осуществляет проверку комплекта ИД, в случае наличия замечаний отражает </w:t>
      </w:r>
      <w:r>
        <w:br w:type="textWrapping" w:clear="all"/>
        <w:t xml:space="preserve">их в соответствующей графе Реестра с указанием сроков их устранения </w:t>
      </w:r>
      <w:r>
        <w:br w:type="textWrapping" w:clear="all"/>
        <w:t xml:space="preserve">и письменно извещает Подрядчика о необходимости устранения замечаний.</w:t>
      </w:r>
      <w:r/>
    </w:p>
    <w:p>
      <w:pPr>
        <w:ind w:firstLine="708"/>
        <w:jc w:val="both"/>
      </w:pPr>
      <w:r>
        <w:t xml:space="preserve">Перечень замечаний по возможности должен быть исчерпывающим. Направление впоследствии дополнительных замечаний к проверенному комплекту ИД не допускается за исключением случаев, когда такие замечания предъ</w:t>
      </w:r>
      <w:r>
        <w:t xml:space="preserve">явлены другим участником рассмотрения ИД или комплект ИД дополняется новыми документами, которые ранее не рассматривались, или замечания представляются к той части комплекта документов, которая подверглась изменению при устранении первоначальных замечаний.</w:t>
      </w:r>
      <w:r/>
    </w:p>
    <w:p>
      <w:pPr>
        <w:ind w:firstLine="708"/>
        <w:jc w:val="both"/>
      </w:pPr>
      <w:r>
        <w:t xml:space="preserve">В случае получения замечаний Технического заказчика (или иного участника рассмотрения) к комплекту ИД Подрядчик организует необходимые мероприятия по их устранению в указанные сроки.</w:t>
      </w:r>
      <w:r/>
    </w:p>
    <w:p>
      <w:pPr>
        <w:ind w:firstLine="708"/>
        <w:jc w:val="both"/>
      </w:pPr>
      <w:r>
        <w:t xml:space="preserve">По итогам устранения замечаний и доработки комплекта ИД </w:t>
      </w:r>
      <w:r>
        <w:br w:type="textWrapping" w:clear="all"/>
        <w:t xml:space="preserve">Подрядчик направляет Техническому заказчику (см. сноску 5) уведомление </w:t>
      </w:r>
      <w:r>
        <w:br w:type="textWrapping" w:clear="all"/>
        <w:t xml:space="preserve">о необходимости осуществления проверки откорректированного комплекта ИД на сетевом ресурсе.</w:t>
      </w:r>
      <w:r/>
    </w:p>
    <w:p>
      <w:pPr>
        <w:ind w:firstLine="708"/>
        <w:jc w:val="both"/>
      </w:pPr>
      <w:r>
        <w:t xml:space="preserve">В случае отсутствия замечаний Технический</w:t>
      </w:r>
      <w:r>
        <w:t xml:space="preserve"> заказчик (см. сноску 5) извещает Подрядчика о согласовании комплекта ИД, делает соответствующую отметку об этом в Реестре на сетевом ресурсе и при необходимости организует мероприятия по включению согласованного комплекта ИД в состав сдаточного комплекта.</w:t>
      </w:r>
      <w:r/>
    </w:p>
    <w:p>
      <w:pPr>
        <w:ind w:firstLine="708"/>
        <w:jc w:val="both"/>
      </w:pPr>
      <w:r>
        <w:t xml:space="preserve">После получен</w:t>
      </w:r>
      <w:r>
        <w:t xml:space="preserve">ия письменного извещения от Заказчика о согласовании сдаточного комплекта ИД Технический заказчик (а в случае отсутствия Технического заказчика – Подрядчик) в течение 5 (пяти) рабочих дней организует мероприятия по формированию согласованного комплекта ИД </w:t>
      </w:r>
      <w:r>
        <w:br w:type="textWrapping" w:clear="all"/>
        <w:t xml:space="preserve">из оригинальных экземпляров документов или их надлежащим образом заверенных копий, организует брошюрование получившегося комплекта </w:t>
      </w:r>
      <w:r>
        <w:br w:type="textWrapping" w:clear="all"/>
        <w:t xml:space="preserve">и направляет его Заказчику. При этом ответственность за полноту и качество содержания сброшюрованных в комплекты документов несет Технический заказчик (а в случае отсутствия Технического заказчика – Подрядчик).</w:t>
      </w:r>
      <w:r/>
    </w:p>
    <w:p>
      <w:pPr>
        <w:ind w:firstLine="708"/>
        <w:jc w:val="both"/>
      </w:pPr>
      <w:r>
        <w:t xml:space="preserve">Заказчик проверяет полноту комплекта сброшюрованных документов, </w:t>
      </w:r>
      <w:r>
        <w:br w:type="textWrapping" w:clear="all"/>
        <w:t xml:space="preserve">в случае отсутствия замечаний осуществляет его приемку для последующей </w:t>
      </w:r>
      <w:r>
        <w:t xml:space="preserve">передачи в архив, по результатам которой не позднее 3 (трех) рабочих дней Заказчик делает отметку в соответствующем Реестре о приемке такого комплекта ИД.</w:t>
      </w:r>
      <w:r/>
    </w:p>
    <w:p>
      <w:pPr>
        <w:ind w:firstLine="709"/>
        <w:jc w:val="center"/>
        <w:rPr>
          <w:b/>
        </w:rPr>
      </w:pPr>
      <w:r>
        <w:rPr>
          <w:b/>
        </w:rPr>
        <w:t xml:space="preserve">Требования к организации структуры массива ИД на сетевом ресурсе, срокам первичного размещения комплектов ИД, а также к срокам передачи заводской сопроводительной документации на оборудование и иной документации, относящейся к ИД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/>
      <w:r/>
    </w:p>
    <w:p>
      <w:pPr>
        <w:ind w:firstLine="709"/>
        <w:jc w:val="both"/>
      </w:pPr>
      <w:r>
        <w:t xml:space="preserve">На</w:t>
      </w:r>
      <w:r>
        <w:t xml:space="preserve"> сетевом ресурсе Группы РусГидро по каждому инвестиционному проекту строительства, реконструкции, технического перевооружения создаются отдельные разделы для размещения и контроля полноты и качества оформляемой ИД для следующих типов (видов) комплектов ИД:</w:t>
      </w:r>
      <w:r/>
    </w:p>
    <w:p>
      <w:pPr>
        <w:ind w:firstLine="709"/>
        <w:jc w:val="both"/>
      </w:pPr>
      <w:r>
        <w:t xml:space="preserve">- Р-1 для комплектов ИД, оформляемых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обеспечения);</w:t>
      </w:r>
      <w:r/>
    </w:p>
    <w:p>
      <w:pPr>
        <w:ind w:firstLine="709"/>
        <w:jc w:val="both"/>
      </w:pPr>
      <w:r>
        <w:t xml:space="preserve">- Р-2 для комплектов ИД, оформляемых для приемки выполненных работ по актам КС-2 или по актам приемки объемов фактически выполненных работ за отчетный период (календарный месяц);</w:t>
      </w:r>
      <w:r/>
    </w:p>
    <w:p>
      <w:pPr>
        <w:ind w:firstLine="709"/>
        <w:jc w:val="both"/>
      </w:pPr>
      <w:r>
        <w:t xml:space="preserve">- Р3 для сводных (сдаточных) комплектов ИД по каждому полностью готовому строительному конструктиву или функционально-технологическому узлу (системе) и сдаточных пакетов, группируемых из нескольких таких сдаточных комплектов ИД;</w:t>
      </w:r>
      <w:r/>
    </w:p>
    <w:p>
      <w:pPr>
        <w:ind w:firstLine="709"/>
        <w:jc w:val="both"/>
      </w:pPr>
      <w:r>
        <w:t xml:space="preserve">- Р-4, для комплектов ИД, оформляемых по результатам пусконаладочных работ и испытаний оборудования или функционально-технологического узла (системы), а также сдаточных пакетов, группируемых из нескольких таких комплектов ИД.</w:t>
      </w:r>
      <w:r/>
    </w:p>
    <w:p>
      <w:pPr>
        <w:ind w:firstLine="709"/>
        <w:jc w:val="both"/>
      </w:pPr>
      <w:r>
        <w:t xml:space="preserve">В каждом из разделов размещаются:</w:t>
      </w:r>
      <w:r/>
    </w:p>
    <w:p>
      <w:pPr>
        <w:ind w:firstLine="709"/>
        <w:jc w:val="both"/>
      </w:pPr>
      <w:r>
        <w:t xml:space="preserve">- файл Реестра для данного раздела (например, в формате таблицы </w:t>
      </w:r>
      <w:r>
        <w:br w:type="textWrapping" w:clear="all"/>
        <w:t xml:space="preserve">Excel, в которой по строкам будет формироваться перечень комплектов </w:t>
      </w:r>
      <w:r>
        <w:br w:type="textWrapping" w:clear="all"/>
        <w:t xml:space="preserve">и документов ИД, оформляемых в ходе строительства, а в столбцах будет отражаться информация о состоянии полноты комплекта, замечаниях </w:t>
      </w:r>
      <w:r>
        <w:br w:type="textWrapping" w:clear="all"/>
        <w:t xml:space="preserve">по результатам проверки, отметки об устранении замечаний, отметки </w:t>
      </w:r>
      <w:r>
        <w:br w:type="textWrapping" w:clear="all"/>
        <w:t xml:space="preserve">о согласовании комплекта ИД генеральным подрядчиком, Техническим заказчиком (агентом), Заказчиком, отметки о передаче комплекта ИД </w:t>
      </w:r>
      <w:r>
        <w:br w:type="textWrapping" w:clear="all"/>
        <w:t xml:space="preserve">для архива Заказчика, а также прочая необходимая информация);</w:t>
      </w:r>
      <w:r/>
    </w:p>
    <w:p>
      <w:pPr>
        <w:ind w:firstLine="709"/>
        <w:jc w:val="both"/>
      </w:pPr>
      <w:r>
        <w:t xml:space="preserve">- отдельные папки для каждого комплекта ИД, в которых размещаются файлы отсканированных документов данного комплекта.</w:t>
      </w:r>
      <w:r/>
    </w:p>
    <w:p>
      <w:pPr>
        <w:ind w:firstLine="709"/>
        <w:jc w:val="both"/>
      </w:pPr>
      <w:r>
        <w:t xml:space="preserve">Основным идентификатором (признаком) наименования комплекта ИД </w:t>
      </w:r>
      <w:r>
        <w:br w:type="textWrapping" w:clear="all"/>
        <w:t xml:space="preserve">в Реестре и элементом названия для соответствующей папки с файлами документов ИД следует принять номер чертежа рабочей документации.</w:t>
      </w:r>
      <w:r/>
    </w:p>
    <w:p>
      <w:pPr>
        <w:ind w:firstLine="709"/>
        <w:jc w:val="both"/>
      </w:pPr>
      <w:r>
        <w:t xml:space="preserve">В случае если в одном комплекте рабочих чертежей (за одним номером) на листах предусмотрено выполнение разных строительных конструктивов, </w:t>
      </w:r>
      <w:r>
        <w:br w:type="textWrapping" w:clear="all"/>
        <w:t xml:space="preserve">то в папке с наименованием, соответствующим этому номеру комплекта рабочих чертежей, создаются подпапки для размещения соответствующих пакетов ИД. </w:t>
      </w:r>
      <w:r>
        <w:t xml:space="preserve">При наименовании указанных подпапок (и имен пакетов, записываемых в Реестре) дополнительно к номеру комплекта рабочих чертежей добавляется номер/номера соответствующих листов и сокращенное название строительного конструктива.</w:t>
      </w:r>
      <w:r/>
    </w:p>
    <w:p>
      <w:pPr>
        <w:ind w:firstLine="709"/>
        <w:jc w:val="both"/>
      </w:pPr>
      <w:r>
        <w:t xml:space="preserve">Требуемые сроки подготовки и размещения на сетевом ресурсе комплекта ИД в электронном виде для проверки и согласования:</w:t>
      </w:r>
      <w:r/>
    </w:p>
    <w:p>
      <w:pPr>
        <w:ind w:firstLine="709"/>
        <w:jc w:val="both"/>
      </w:pPr>
      <w:r>
        <w:t xml:space="preserve">- для ИД, оформляемой для освидетельствования (приемки) работ, оказывающих влияние на безопасность объекта (скрытые работы, ответственные конструкции, участки сетей инженерно-технического обеспечения), – за 3 (три) рабочих дня до даты освидетельствования;</w:t>
      </w:r>
      <w:r/>
    </w:p>
    <w:p>
      <w:pPr>
        <w:ind w:firstLine="709"/>
        <w:jc w:val="both"/>
      </w:pPr>
      <w:r>
        <w:t xml:space="preserve">- по ИД, оформляемой для приемки работ по актам КС-2 или по актам приемки объемов фактически выполненных работ за отчетный период (календарный месяц), – за 3 (три) рабочих дня до даты предъявления указанных актов;</w:t>
      </w:r>
      <w:r/>
    </w:p>
    <w:p>
      <w:pPr>
        <w:ind w:firstLine="709"/>
        <w:jc w:val="both"/>
      </w:pPr>
      <w:r>
        <w:t xml:space="preserve">- для сводной (сдаточной) ИД по полностью готовым строительным конструктивам или функционально-технологическим узлам (системам) – </w:t>
      </w:r>
      <w:r>
        <w:br w:type="textWrapping" w:clear="all"/>
        <w:t xml:space="preserve">не позднее 5 (пяти) рабочих дней со дня сдачи-приемки полностью готового строительного кон</w:t>
      </w:r>
      <w:r>
        <w:t xml:space="preserve">структива и не позднее 3 (трех) рабочих дней до дня сдачи-приемки тех строительных конструктивов, завершенного монтажом оборудования или функционально-технологического узла (системы), приемка которых должна осуществляться специализированными подкомиссиями </w:t>
      </w:r>
      <w:r>
        <w:t xml:space="preserve"> </w:t>
      </w:r>
      <w:r>
        <w:t xml:space="preserve">(далее – СПК);</w:t>
      </w:r>
      <w:r/>
    </w:p>
    <w:p>
      <w:pPr>
        <w:ind w:firstLine="709"/>
        <w:jc w:val="both"/>
      </w:pPr>
      <w:r>
        <w:t xml:space="preserve">- для ИД по результатам пусконаладочных работ – не позднее 5 (пяти) рабочих дней после индивидуальных испытаний оборудования </w:t>
      </w:r>
      <w:r>
        <w:br w:type="textWrapping" w:clear="all"/>
        <w:t xml:space="preserve">или функционально-технологического узла.</w:t>
      </w:r>
      <w:r/>
    </w:p>
    <w:p>
      <w:pPr>
        <w:ind w:firstLine="709"/>
        <w:jc w:val="both"/>
      </w:pPr>
      <w:r>
        <w:t xml:space="preserve">Относящаяся к оборудованию заводская сопроводительная документация в бумажном виде, представляемая поставщиком вместе с оборудованием, </w:t>
      </w:r>
      <w:r>
        <w:br w:type="textWrapping" w:clear="all"/>
        <w:t xml:space="preserve">не подлежит сканированию для перевода в электронный формат, </w:t>
      </w:r>
      <w:r>
        <w:br w:type="textWrapping" w:clear="all"/>
        <w:t xml:space="preserve">но наименование каждого отдельного документа из состава такой документации должно быть отражено в Реестре соответствующего комплекта ИД на сетевом ресурсе.</w:t>
      </w:r>
      <w:r/>
    </w:p>
    <w:p>
      <w:pPr>
        <w:ind w:firstLine="709"/>
        <w:jc w:val="both"/>
      </w:pPr>
      <w:r>
        <w:t xml:space="preserve">Передача указанной документации в адрес Заказчика должна осуществляться не позднее 3 (трех) рабочих дней до дня сдачи-приемки (проведения СПК) завершенного монтажом оборудования или функционально-технологического узла (системы).</w:t>
      </w:r>
      <w:r/>
    </w:p>
    <w:p>
      <w:pPr>
        <w:ind w:firstLine="709"/>
        <w:jc w:val="both"/>
      </w:pPr>
      <w:r>
        <w:t xml:space="preserve">ИД (с соответствующим Реестром), не относящаяся к каким-то конкретным рабочим чертежам, которая ведется в течение всего периода строительства, а именно:</w:t>
      </w:r>
      <w:r/>
    </w:p>
    <w:p>
      <w:pPr>
        <w:ind w:firstLine="709"/>
        <w:jc w:val="both"/>
      </w:pPr>
      <w:r>
        <w:t xml:space="preserve">- документация пооперационного строительного контроля – журналы работ (общий, специальные, авторского надзора, входного контроля);</w:t>
      </w:r>
      <w:r/>
    </w:p>
    <w:p>
      <w:pPr>
        <w:ind w:firstLine="709"/>
        <w:jc w:val="both"/>
      </w:pPr>
      <w:r>
        <w:t xml:space="preserve">- ИД по геодезии – акты</w:t>
      </w:r>
      <w:r>
        <w:t xml:space="preserve"> освидетельствования геодезической разбивочной основы для строительства, разбивки осей объекта капитального строительства на местности, Протоколы (или журнал) регистрации и переноса монтажных знаков, марок, ориентиров и реперов для геодезического контроля;</w:t>
      </w:r>
      <w:r/>
    </w:p>
    <w:p>
      <w:pPr>
        <w:ind w:firstLine="709"/>
        <w:jc w:val="both"/>
      </w:pPr>
      <w:r>
        <w:t xml:space="preserve">- ИД по мониторингу за деформациями, осадками и кренами возводимых зданий и сооружений в период строительства; </w:t>
      </w:r>
      <w:r/>
    </w:p>
    <w:p>
      <w:pPr>
        <w:ind w:firstLine="709"/>
        <w:jc w:val="both"/>
      </w:pPr>
      <w:r>
        <w:t xml:space="preserve">- ИД по геотехническому мониторингу земляных масс, грунтовых оснований, пластов, насыпей, склонов, инклинометрии скважин, сейсмометрии,</w:t>
      </w:r>
      <w:r/>
    </w:p>
    <w:p>
      <w:pPr>
        <w:ind w:firstLine="709"/>
        <w:jc w:val="both"/>
      </w:pPr>
      <w:r>
        <w:t xml:space="preserve">будет подлежать передаче от Технического заказчика (а в случае отсутствия Технического заказчика – от Подрядчика) в адре</w:t>
      </w:r>
      <w:r>
        <w:t xml:space="preserve">с Заказчика единым комплектом в бумажном виде на стадии завершения строительства (реконструкции, технического перевооружения) не позднее 5 (пяти) рабочих дней после получения по результатам проверки органом государственного строительного надзора заключения</w:t>
      </w:r>
      <w:r>
        <w:rPr>
          <w:rStyle w:val="949"/>
        </w:rPr>
        <w:footnoteReference w:id="7"/>
      </w:r>
      <w:r>
        <w:t xml:space="preserve"> о соответствии законченного строительством, реконструкцией объекта капитального строительства требованиям технических регламентов, иных нормативных правовых актов </w:t>
      </w:r>
      <w:r>
        <w:t xml:space="preserve"> </w:t>
      </w:r>
      <w:r>
        <w:t xml:space="preserve">и проектной документации, в том числе требованиям в отношении энергетической эффективности и требованиям в отношении оснащенности объектов капитального строительства приборами учета используемых энергетических ресурсов.</w:t>
      </w:r>
      <w:r/>
    </w:p>
    <w:p>
      <w:pPr>
        <w:ind w:firstLine="709"/>
        <w:jc w:val="both"/>
      </w:pPr>
      <w:r>
        <w:t xml:space="preserve">Требования к ведению исполнительной документации в форме электронных документов по пунктам 4, 5, 9 приложения № 2 к приказу Минст</w:t>
      </w:r>
      <w:r>
        <w:t xml:space="preserve">роя России от 16.05.2023 № 344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будут применяются после реализации соответствующего функционала </w:t>
      </w:r>
      <w:r>
        <w:t xml:space="preserve"> </w:t>
      </w:r>
      <w:r>
        <w:t xml:space="preserve">в информационных системах Группы РусГидро, а также размещения новой xml-схемы на официальном сайте Министерства строительства и жилищно-коммунального хозяйства Российской Федерации в сети Интернет.</w:t>
      </w:r>
      <w:r/>
    </w:p>
    <w:p>
      <w:pPr>
        <w:ind w:firstLine="709"/>
        <w:jc w:val="both"/>
      </w:pPr>
      <w:r/>
      <w:r/>
    </w:p>
    <w:p>
      <w:pPr>
        <w:ind w:left="1701" w:hanging="1701"/>
        <w:jc w:val="both"/>
      </w:pPr>
      <w:r>
        <w:t xml:space="preserve">Приложение: формы Реестров исполнительной документации для разделов </w:t>
      </w:r>
      <w:r>
        <w:br w:type="textWrapping" w:clear="all"/>
        <w:t xml:space="preserve">Р-1, Р-2, Р-3, Р-4 в электронном виде (формат Excel).</w:t>
      </w:r>
      <w:r/>
    </w:p>
    <w:p>
      <w:pPr>
        <w:ind w:left="1701" w:hanging="1701"/>
        <w:jc w:val="both"/>
      </w:pPr>
      <w:r/>
      <w:r/>
    </w:p>
    <w:tbl>
      <w:tblPr>
        <w:tblW w:w="1091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5664"/>
        <w:gridCol w:w="142"/>
        <w:gridCol w:w="4542"/>
        <w:gridCol w:w="567"/>
      </w:tblGrid>
      <w:tr>
        <w:tblPrEx/>
        <w:trPr/>
        <w:tc>
          <w:tcPr>
            <w:gridSpan w:val="2"/>
            <w:tcW w:w="5806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5109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gridAfter w:val="1"/>
        </w:trPr>
        <w:tc>
          <w:tcPr>
            <w:tcW w:w="5664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/>
            <w:bookmarkStart w:id="0" w:name="_GoBack"/>
            <w:r/>
            <w:bookmarkEnd w:id="0"/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W w:w="4684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ind w:left="1701" w:hanging="1701"/>
        <w:jc w:val="both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851" w:right="680" w:bottom="851" w:left="124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7"/>
        <w:rPr>
          <w:sz w:val="18"/>
          <w:szCs w:val="18"/>
        </w:rPr>
      </w:pPr>
      <w:r>
        <w:rPr>
          <w:rStyle w:val="949"/>
          <w:sz w:val="18"/>
          <w:szCs w:val="18"/>
        </w:rPr>
        <w:footnoteRef/>
      </w:r>
      <w:r>
        <w:rPr>
          <w:sz w:val="18"/>
          <w:szCs w:val="18"/>
        </w:rPr>
        <w:t xml:space="preserve"> Далее – ПО.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pStyle w:val="947"/>
      </w:pPr>
      <w:r>
        <w:rPr>
          <w:rStyle w:val="949"/>
        </w:rPr>
        <w:footnoteRef/>
      </w:r>
      <w:r>
        <w:t xml:space="preserve"> </w:t>
      </w:r>
      <w:r>
        <w:rPr>
          <w:sz w:val="18"/>
          <w:szCs w:val="18"/>
        </w:rPr>
        <w:t xml:space="preserve">Далее соответственно Заказчик, Технический заказчик и Подрядчик.</w:t>
      </w:r>
      <w:r/>
    </w:p>
  </w:footnote>
  <w:footnote w:id="4">
    <w:p>
      <w:pPr>
        <w:pStyle w:val="947"/>
        <w:jc w:val="both"/>
      </w:pPr>
      <w:r>
        <w:rPr>
          <w:rStyle w:val="949"/>
        </w:rPr>
        <w:footnoteRef/>
      </w:r>
      <w:r>
        <w:t xml:space="preserve"> </w:t>
      </w:r>
      <w:r>
        <w:rPr>
          <w:sz w:val="18"/>
          <w:szCs w:val="18"/>
        </w:rPr>
        <w:t xml:space="preserve">Далее также ИД. Состав исполнительной документации должен соответствовать Требованиям к составу и порядку ведения исполнительной документации при строительстве, реконструкции, капитально</w:t>
      </w:r>
      <w:r>
        <w:rPr>
          <w:sz w:val="18"/>
          <w:szCs w:val="18"/>
        </w:rPr>
        <w:t xml:space="preserve">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обеспечения, утвержденным приказом Ростехнадзора от 26.12.2006 № 1128, и перечню ИД, указанному </w:t>
      </w:r>
      <w:r>
        <w:rPr>
          <w:sz w:val="18"/>
          <w:szCs w:val="18"/>
        </w:rPr>
        <w:br w:type="textWrapping" w:clear="all"/>
        <w:t xml:space="preserve">в проектной и рабочей докум</w:t>
      </w:r>
      <w:r>
        <w:rPr>
          <w:sz w:val="18"/>
          <w:szCs w:val="18"/>
        </w:rPr>
        <w:t xml:space="preserve">ентации на реконструкцию и техническое перевооружение объекта капитального строительства, а также требованиям федеральных норм и правил (ФНП), правил, руководящих документов (РД), сводов правил (СП), строительных норм и правил (СНиП), технических регламент</w:t>
      </w:r>
      <w:r>
        <w:rPr>
          <w:sz w:val="18"/>
          <w:szCs w:val="18"/>
        </w:rPr>
        <w:t xml:space="preserve">ов (ТР), национальных стандартов (ГОСТ Р), иных нормативно-правовых и нормативно-технических документов Российской Федерации, как непосредственно указанных в проектной и рабочей документации, так и не указанных, но применимых в отношении выполняемых работ.</w:t>
      </w:r>
      <w:r/>
    </w:p>
  </w:footnote>
  <w:footnote w:id="5">
    <w:p>
      <w:pPr>
        <w:pStyle w:val="947"/>
        <w:rPr>
          <w:sz w:val="18"/>
          <w:szCs w:val="18"/>
        </w:rPr>
      </w:pPr>
      <w:r>
        <w:rPr>
          <w:rStyle w:val="949"/>
          <w:sz w:val="18"/>
          <w:szCs w:val="18"/>
        </w:rPr>
        <w:footnoteRef/>
      </w:r>
      <w:r>
        <w:rPr>
          <w:sz w:val="18"/>
          <w:szCs w:val="18"/>
        </w:rPr>
        <w:t xml:space="preserve"> К формату размещения на сетевом ресурсе исполнительной документации относятся: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47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электронные копии бумажной версии документации с использованием программно-технических средств;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47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копии в электронной форме в стандартных форматах, предусматривающих хранение графических изображений </w:t>
      </w:r>
      <w:r>
        <w:rPr>
          <w:sz w:val="18"/>
          <w:szCs w:val="18"/>
        </w:rPr>
        <w:br w:type="textWrapping" w:clear="all"/>
        <w:t xml:space="preserve">в виде векторной графики, допускающих редактирование с применением программного обеспечения; </w:t>
      </w:r>
      <w:r>
        <w:rPr>
          <w:sz w:val="18"/>
          <w:szCs w:val="18"/>
        </w:rPr>
        <w:br w:type="textWrapping" w:clear="all"/>
        <w:t xml:space="preserve">в электронной форме должны быть отражены все изменения и корректировки, выполненные в процессе проведения работ и соответствующие выполненному монтажу на оборудовании и устройствах, согласованные </w:t>
      </w:r>
      <w:r>
        <w:rPr>
          <w:sz w:val="18"/>
          <w:szCs w:val="18"/>
        </w:rPr>
        <w:br w:type="textWrapping" w:clear="all"/>
        <w:t xml:space="preserve">и заверенные проектировщиком. Обязанность по формированию электронных копий возлагается на Подрядчика.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947"/>
        <w:jc w:val="both"/>
      </w:pPr>
      <w:r>
        <w:rPr>
          <w:rStyle w:val="949"/>
        </w:rPr>
        <w:footnoteRef/>
      </w:r>
      <w:r>
        <w:t xml:space="preserve"> </w:t>
      </w:r>
      <w:r>
        <w:rPr>
          <w:sz w:val="18"/>
          <w:szCs w:val="18"/>
        </w:rPr>
        <w:t xml:space="preserve">Подрядчик уведомляет Заказчика в случае реализации инвестиционного проекта без участия Технического заказчика </w:t>
      </w:r>
      <w:r>
        <w:rPr>
          <w:sz w:val="18"/>
          <w:szCs w:val="18"/>
        </w:rPr>
        <w:br w:type="textWrapping" w:clear="all"/>
        <w:t xml:space="preserve">в качестве стороны. Для данных инвестиционных проектов (при наличии ссылки на эту сноску далее по тексту) действия Технического заказчика выполняет Заказчик.</w:t>
      </w:r>
      <w:r/>
    </w:p>
  </w:footnote>
  <w:footnote w:id="7">
    <w:p>
      <w:pPr>
        <w:pStyle w:val="947"/>
        <w:jc w:val="both"/>
      </w:pPr>
      <w:r>
        <w:rPr>
          <w:rStyle w:val="949"/>
        </w:rPr>
        <w:footnoteRef/>
      </w:r>
      <w:r>
        <w:t xml:space="preserve"> В случае если предусмотрено осуществление государственного строительного надзора в соответствии </w:t>
      </w:r>
      <w:r>
        <w:br w:type="textWrapping" w:clear="all"/>
        <w:t xml:space="preserve">с «Градостроительным кодексом </w:t>
      </w:r>
      <w:r>
        <w:t xml:space="preserve">Российской Федерации» от 29.12.2004 № 190-ФЗ и постановлением Правительства Российской Федерации от 01.12.2021 № 2161 (ред. от 30.03.2023) «Об утверждении общих требований к организации и осуществлению регионального государственного строительного надзора».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4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5</w:t>
    </w:r>
    <w:r>
      <w:rPr>
        <w:sz w:val="24"/>
        <w:szCs w:val="24"/>
      </w:rPr>
      <w:fldChar w:fldCharType="end"/>
    </w:r>
    <w:r/>
  </w:p>
  <w:p>
    <w:pPr>
      <w:pStyle w:val="8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9">
    <w:name w:val="Heading 1 Char"/>
    <w:basedOn w:val="792"/>
    <w:link w:val="783"/>
    <w:uiPriority w:val="9"/>
    <w:rPr>
      <w:rFonts w:ascii="Arial" w:hAnsi="Arial" w:eastAsia="Arial" w:cs="Arial"/>
      <w:sz w:val="40"/>
      <w:szCs w:val="40"/>
    </w:rPr>
  </w:style>
  <w:style w:type="character" w:styleId="770">
    <w:name w:val="Heading 2 Char"/>
    <w:basedOn w:val="792"/>
    <w:link w:val="784"/>
    <w:uiPriority w:val="9"/>
    <w:rPr>
      <w:rFonts w:ascii="Arial" w:hAnsi="Arial" w:eastAsia="Arial" w:cs="Arial"/>
      <w:sz w:val="34"/>
    </w:rPr>
  </w:style>
  <w:style w:type="character" w:styleId="771">
    <w:name w:val="Heading 3 Char"/>
    <w:basedOn w:val="792"/>
    <w:link w:val="785"/>
    <w:uiPriority w:val="9"/>
    <w:rPr>
      <w:rFonts w:ascii="Arial" w:hAnsi="Arial" w:eastAsia="Arial" w:cs="Arial"/>
      <w:sz w:val="30"/>
      <w:szCs w:val="30"/>
    </w:rPr>
  </w:style>
  <w:style w:type="character" w:styleId="772">
    <w:name w:val="Heading 4 Char"/>
    <w:basedOn w:val="792"/>
    <w:link w:val="786"/>
    <w:uiPriority w:val="9"/>
    <w:rPr>
      <w:rFonts w:ascii="Arial" w:hAnsi="Arial" w:eastAsia="Arial" w:cs="Arial"/>
      <w:b/>
      <w:bCs/>
      <w:sz w:val="26"/>
      <w:szCs w:val="26"/>
    </w:rPr>
  </w:style>
  <w:style w:type="character" w:styleId="773">
    <w:name w:val="Heading 5 Char"/>
    <w:basedOn w:val="792"/>
    <w:link w:val="787"/>
    <w:uiPriority w:val="9"/>
    <w:rPr>
      <w:rFonts w:ascii="Arial" w:hAnsi="Arial" w:eastAsia="Arial" w:cs="Arial"/>
      <w:b/>
      <w:bCs/>
      <w:sz w:val="24"/>
      <w:szCs w:val="24"/>
    </w:rPr>
  </w:style>
  <w:style w:type="character" w:styleId="774">
    <w:name w:val="Heading 6 Char"/>
    <w:basedOn w:val="79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775">
    <w:name w:val="Heading 7 Char"/>
    <w:basedOn w:val="792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6">
    <w:name w:val="Heading 8 Char"/>
    <w:basedOn w:val="792"/>
    <w:link w:val="790"/>
    <w:uiPriority w:val="9"/>
    <w:rPr>
      <w:rFonts w:ascii="Arial" w:hAnsi="Arial" w:eastAsia="Arial" w:cs="Arial"/>
      <w:i/>
      <w:iCs/>
      <w:sz w:val="22"/>
      <w:szCs w:val="22"/>
    </w:rPr>
  </w:style>
  <w:style w:type="character" w:styleId="777">
    <w:name w:val="Heading 9 Char"/>
    <w:basedOn w:val="792"/>
    <w:link w:val="791"/>
    <w:uiPriority w:val="9"/>
    <w:rPr>
      <w:rFonts w:ascii="Arial" w:hAnsi="Arial" w:eastAsia="Arial" w:cs="Arial"/>
      <w:i/>
      <w:iCs/>
      <w:sz w:val="21"/>
      <w:szCs w:val="21"/>
    </w:rPr>
  </w:style>
  <w:style w:type="character" w:styleId="778">
    <w:name w:val="Title Char"/>
    <w:basedOn w:val="792"/>
    <w:link w:val="806"/>
    <w:uiPriority w:val="10"/>
    <w:rPr>
      <w:sz w:val="48"/>
      <w:szCs w:val="48"/>
    </w:rPr>
  </w:style>
  <w:style w:type="character" w:styleId="779">
    <w:name w:val="Subtitle Char"/>
    <w:basedOn w:val="792"/>
    <w:link w:val="808"/>
    <w:uiPriority w:val="11"/>
    <w:rPr>
      <w:sz w:val="24"/>
      <w:szCs w:val="24"/>
    </w:rPr>
  </w:style>
  <w:style w:type="character" w:styleId="780">
    <w:name w:val="Quote Char"/>
    <w:link w:val="810"/>
    <w:uiPriority w:val="29"/>
    <w:rPr>
      <w:i/>
    </w:rPr>
  </w:style>
  <w:style w:type="character" w:styleId="781">
    <w:name w:val="Intense Quote Char"/>
    <w:link w:val="812"/>
    <w:uiPriority w:val="30"/>
    <w:rPr>
      <w:i/>
    </w:rPr>
  </w:style>
  <w:style w:type="paragraph" w:styleId="782" w:default="1">
    <w:name w:val="Normal"/>
    <w:qFormat/>
    <w:rPr>
      <w:rFonts w:ascii="Times New Roman" w:hAnsi="Times New Roman" w:eastAsia="Times New Roman"/>
      <w:sz w:val="28"/>
      <w:szCs w:val="28"/>
    </w:rPr>
  </w:style>
  <w:style w:type="paragraph" w:styleId="783">
    <w:name w:val="Heading 1"/>
    <w:basedOn w:val="782"/>
    <w:next w:val="782"/>
    <w:link w:val="7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4">
    <w:name w:val="Heading 2"/>
    <w:basedOn w:val="782"/>
    <w:next w:val="782"/>
    <w:link w:val="7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5">
    <w:name w:val="Heading 3"/>
    <w:basedOn w:val="782"/>
    <w:next w:val="782"/>
    <w:link w:val="7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6">
    <w:name w:val="Heading 4"/>
    <w:basedOn w:val="782"/>
    <w:next w:val="782"/>
    <w:link w:val="7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7">
    <w:name w:val="Heading 5"/>
    <w:basedOn w:val="782"/>
    <w:next w:val="782"/>
    <w:link w:val="7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782"/>
    <w:next w:val="782"/>
    <w:link w:val="8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782"/>
    <w:next w:val="782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782"/>
    <w:next w:val="782"/>
    <w:link w:val="8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782"/>
    <w:next w:val="782"/>
    <w:link w:val="8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 w:default="1">
    <w:name w:val="Default Paragraph Font"/>
    <w:uiPriority w:val="1"/>
    <w:semiHidden/>
    <w:unhideWhenUsed/>
  </w:style>
  <w:style w:type="table" w:styleId="7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4" w:default="1">
    <w:name w:val="No List"/>
    <w:uiPriority w:val="99"/>
    <w:semiHidden/>
    <w:unhideWhenUsed/>
  </w:style>
  <w:style w:type="character" w:styleId="795" w:customStyle="1">
    <w:name w:val="Заголовок 1 Знак"/>
    <w:link w:val="783"/>
    <w:uiPriority w:val="9"/>
    <w:rPr>
      <w:rFonts w:ascii="Arial" w:hAnsi="Arial" w:eastAsia="Arial" w:cs="Arial"/>
      <w:sz w:val="40"/>
      <w:szCs w:val="40"/>
    </w:rPr>
  </w:style>
  <w:style w:type="character" w:styleId="796" w:customStyle="1">
    <w:name w:val="Заголовок 2 Знак"/>
    <w:link w:val="784"/>
    <w:uiPriority w:val="9"/>
    <w:rPr>
      <w:rFonts w:ascii="Arial" w:hAnsi="Arial" w:eastAsia="Arial" w:cs="Arial"/>
      <w:sz w:val="34"/>
    </w:rPr>
  </w:style>
  <w:style w:type="character" w:styleId="797" w:customStyle="1">
    <w:name w:val="Заголовок 3 Знак"/>
    <w:link w:val="785"/>
    <w:uiPriority w:val="9"/>
    <w:rPr>
      <w:rFonts w:ascii="Arial" w:hAnsi="Arial" w:eastAsia="Arial" w:cs="Arial"/>
      <w:sz w:val="30"/>
      <w:szCs w:val="30"/>
    </w:rPr>
  </w:style>
  <w:style w:type="character" w:styleId="798" w:customStyle="1">
    <w:name w:val="Заголовок 4 Знак"/>
    <w:link w:val="786"/>
    <w:uiPriority w:val="9"/>
    <w:rPr>
      <w:rFonts w:ascii="Arial" w:hAnsi="Arial" w:eastAsia="Arial" w:cs="Arial"/>
      <w:b/>
      <w:bCs/>
      <w:sz w:val="26"/>
      <w:szCs w:val="26"/>
    </w:rPr>
  </w:style>
  <w:style w:type="character" w:styleId="799" w:customStyle="1">
    <w:name w:val="Заголовок 5 Знак"/>
    <w:link w:val="787"/>
    <w:uiPriority w:val="9"/>
    <w:rPr>
      <w:rFonts w:ascii="Arial" w:hAnsi="Arial" w:eastAsia="Arial" w:cs="Arial"/>
      <w:b/>
      <w:bCs/>
      <w:sz w:val="24"/>
      <w:szCs w:val="24"/>
    </w:rPr>
  </w:style>
  <w:style w:type="character" w:styleId="800" w:customStyle="1">
    <w:name w:val="Заголовок 6 Знак"/>
    <w:link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801" w:customStyle="1">
    <w:name w:val="Заголовок 7 Знак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2" w:customStyle="1">
    <w:name w:val="Заголовок 8 Знак"/>
    <w:link w:val="790"/>
    <w:uiPriority w:val="9"/>
    <w:rPr>
      <w:rFonts w:ascii="Arial" w:hAnsi="Arial" w:eastAsia="Arial" w:cs="Arial"/>
      <w:i/>
      <w:iCs/>
      <w:sz w:val="22"/>
      <w:szCs w:val="22"/>
    </w:rPr>
  </w:style>
  <w:style w:type="character" w:styleId="803" w:customStyle="1">
    <w:name w:val="Заголовок 9 Знак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804">
    <w:name w:val="List Paragraph"/>
    <w:basedOn w:val="782"/>
    <w:uiPriority w:val="34"/>
    <w:qFormat/>
    <w:pPr>
      <w:contextualSpacing/>
      <w:ind w:left="720"/>
    </w:pPr>
  </w:style>
  <w:style w:type="paragraph" w:styleId="805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806">
    <w:name w:val="Title"/>
    <w:basedOn w:val="782"/>
    <w:next w:val="782"/>
    <w:link w:val="8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7" w:customStyle="1">
    <w:name w:val="Название Знак"/>
    <w:link w:val="806"/>
    <w:uiPriority w:val="10"/>
    <w:rPr>
      <w:sz w:val="48"/>
      <w:szCs w:val="48"/>
    </w:rPr>
  </w:style>
  <w:style w:type="paragraph" w:styleId="808">
    <w:name w:val="Subtitle"/>
    <w:basedOn w:val="782"/>
    <w:next w:val="782"/>
    <w:link w:val="809"/>
    <w:uiPriority w:val="11"/>
    <w:qFormat/>
    <w:pPr>
      <w:spacing w:before="200" w:after="200"/>
    </w:pPr>
    <w:rPr>
      <w:sz w:val="24"/>
      <w:szCs w:val="24"/>
    </w:rPr>
  </w:style>
  <w:style w:type="character" w:styleId="809" w:customStyle="1">
    <w:name w:val="Подзаголовок Знак"/>
    <w:link w:val="808"/>
    <w:uiPriority w:val="11"/>
    <w:rPr>
      <w:sz w:val="24"/>
      <w:szCs w:val="24"/>
    </w:rPr>
  </w:style>
  <w:style w:type="paragraph" w:styleId="810">
    <w:name w:val="Quote"/>
    <w:basedOn w:val="782"/>
    <w:next w:val="782"/>
    <w:link w:val="811"/>
    <w:uiPriority w:val="29"/>
    <w:qFormat/>
    <w:pPr>
      <w:ind w:left="720" w:right="720"/>
    </w:pPr>
    <w:rPr>
      <w:i/>
    </w:rPr>
  </w:style>
  <w:style w:type="character" w:styleId="811" w:customStyle="1">
    <w:name w:val="Цитата 2 Знак"/>
    <w:link w:val="810"/>
    <w:uiPriority w:val="29"/>
    <w:rPr>
      <w:i/>
    </w:rPr>
  </w:style>
  <w:style w:type="paragraph" w:styleId="812">
    <w:name w:val="Intense Quote"/>
    <w:basedOn w:val="782"/>
    <w:next w:val="782"/>
    <w:link w:val="8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3" w:customStyle="1">
    <w:name w:val="Выделенная цитата Знак"/>
    <w:link w:val="812"/>
    <w:uiPriority w:val="30"/>
    <w:rPr>
      <w:i/>
    </w:rPr>
  </w:style>
  <w:style w:type="paragraph" w:styleId="814">
    <w:name w:val="Header"/>
    <w:basedOn w:val="782"/>
    <w:link w:val="9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15" w:customStyle="1">
    <w:name w:val="Header Char"/>
    <w:uiPriority w:val="99"/>
  </w:style>
  <w:style w:type="paragraph" w:styleId="816">
    <w:name w:val="Footer"/>
    <w:basedOn w:val="782"/>
    <w:link w:val="9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17" w:customStyle="1">
    <w:name w:val="Footer Char"/>
    <w:uiPriority w:val="99"/>
  </w:style>
  <w:style w:type="paragraph" w:styleId="818">
    <w:name w:val="Caption"/>
    <w:basedOn w:val="782"/>
    <w:next w:val="782"/>
    <w:link w:val="81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9" w:customStyle="1">
    <w:name w:val="Caption Char"/>
    <w:uiPriority w:val="99"/>
  </w:style>
  <w:style w:type="table" w:styleId="820">
    <w:name w:val="Table Grid"/>
    <w:basedOn w:val="793"/>
    <w:uiPriority w:val="59"/>
    <w:tblPr/>
  </w:style>
  <w:style w:type="table" w:styleId="82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6">
    <w:name w:val="Hyperlink"/>
    <w:uiPriority w:val="99"/>
    <w:unhideWhenUsed/>
    <w:rPr>
      <w:color w:val="0000ff"/>
      <w:u w:val="single"/>
    </w:rPr>
  </w:style>
  <w:style w:type="paragraph" w:styleId="947">
    <w:name w:val="footnote text"/>
    <w:basedOn w:val="782"/>
    <w:link w:val="982"/>
    <w:uiPriority w:val="99"/>
    <w:semiHidden/>
    <w:unhideWhenUsed/>
    <w:rPr>
      <w:sz w:val="20"/>
      <w:szCs w:val="20"/>
    </w:rPr>
  </w:style>
  <w:style w:type="character" w:styleId="948" w:customStyle="1">
    <w:name w:val="Footnote Text Char"/>
    <w:uiPriority w:val="99"/>
    <w:rPr>
      <w:sz w:val="18"/>
    </w:rPr>
  </w:style>
  <w:style w:type="character" w:styleId="949">
    <w:name w:val="footnote reference"/>
    <w:uiPriority w:val="99"/>
    <w:semiHidden/>
    <w:unhideWhenUsed/>
    <w:rPr>
      <w:vertAlign w:val="superscript"/>
    </w:rPr>
  </w:style>
  <w:style w:type="paragraph" w:styleId="950">
    <w:name w:val="endnote text"/>
    <w:basedOn w:val="782"/>
    <w:link w:val="983"/>
    <w:uiPriority w:val="99"/>
    <w:semiHidden/>
    <w:unhideWhenUsed/>
    <w:rPr>
      <w:sz w:val="20"/>
      <w:szCs w:val="20"/>
    </w:rPr>
  </w:style>
  <w:style w:type="character" w:styleId="951" w:customStyle="1">
    <w:name w:val="Endnote Text Char"/>
    <w:uiPriority w:val="99"/>
    <w:rPr>
      <w:sz w:val="20"/>
    </w:rPr>
  </w:style>
  <w:style w:type="character" w:styleId="952">
    <w:name w:val="endnote reference"/>
    <w:uiPriority w:val="99"/>
    <w:semiHidden/>
    <w:unhideWhenUsed/>
    <w:rPr>
      <w:vertAlign w:val="superscript"/>
    </w:rPr>
  </w:style>
  <w:style w:type="paragraph" w:styleId="953">
    <w:name w:val="toc 1"/>
    <w:basedOn w:val="782"/>
    <w:next w:val="782"/>
    <w:uiPriority w:val="39"/>
    <w:unhideWhenUsed/>
    <w:pPr>
      <w:spacing w:after="57"/>
    </w:pPr>
  </w:style>
  <w:style w:type="paragraph" w:styleId="954">
    <w:name w:val="toc 2"/>
    <w:basedOn w:val="782"/>
    <w:next w:val="782"/>
    <w:uiPriority w:val="39"/>
    <w:unhideWhenUsed/>
    <w:pPr>
      <w:ind w:left="283"/>
      <w:spacing w:after="57"/>
    </w:pPr>
  </w:style>
  <w:style w:type="paragraph" w:styleId="955">
    <w:name w:val="toc 3"/>
    <w:basedOn w:val="782"/>
    <w:next w:val="782"/>
    <w:uiPriority w:val="39"/>
    <w:unhideWhenUsed/>
    <w:pPr>
      <w:ind w:left="567"/>
      <w:spacing w:after="57"/>
    </w:pPr>
  </w:style>
  <w:style w:type="paragraph" w:styleId="956">
    <w:name w:val="toc 4"/>
    <w:basedOn w:val="782"/>
    <w:next w:val="782"/>
    <w:uiPriority w:val="39"/>
    <w:unhideWhenUsed/>
    <w:pPr>
      <w:ind w:left="850"/>
      <w:spacing w:after="57"/>
    </w:pPr>
  </w:style>
  <w:style w:type="paragraph" w:styleId="957">
    <w:name w:val="toc 5"/>
    <w:basedOn w:val="782"/>
    <w:next w:val="782"/>
    <w:uiPriority w:val="39"/>
    <w:unhideWhenUsed/>
    <w:pPr>
      <w:ind w:left="1134"/>
      <w:spacing w:after="57"/>
    </w:pPr>
  </w:style>
  <w:style w:type="paragraph" w:styleId="958">
    <w:name w:val="toc 6"/>
    <w:basedOn w:val="782"/>
    <w:next w:val="782"/>
    <w:uiPriority w:val="39"/>
    <w:unhideWhenUsed/>
    <w:pPr>
      <w:ind w:left="1417"/>
      <w:spacing w:after="57"/>
    </w:pPr>
  </w:style>
  <w:style w:type="paragraph" w:styleId="959">
    <w:name w:val="toc 7"/>
    <w:basedOn w:val="782"/>
    <w:next w:val="782"/>
    <w:uiPriority w:val="39"/>
    <w:unhideWhenUsed/>
    <w:pPr>
      <w:ind w:left="1701"/>
      <w:spacing w:after="57"/>
    </w:pPr>
  </w:style>
  <w:style w:type="paragraph" w:styleId="960">
    <w:name w:val="toc 8"/>
    <w:basedOn w:val="782"/>
    <w:next w:val="782"/>
    <w:uiPriority w:val="39"/>
    <w:unhideWhenUsed/>
    <w:pPr>
      <w:ind w:left="1984"/>
      <w:spacing w:after="57"/>
    </w:pPr>
  </w:style>
  <w:style w:type="paragraph" w:styleId="961">
    <w:name w:val="toc 9"/>
    <w:basedOn w:val="782"/>
    <w:next w:val="782"/>
    <w:uiPriority w:val="39"/>
    <w:unhideWhenUsed/>
    <w:pPr>
      <w:ind w:left="2268"/>
      <w:spacing w:after="57"/>
    </w:pPr>
  </w:style>
  <w:style w:type="paragraph" w:styleId="962">
    <w:name w:val="TOC Heading"/>
    <w:uiPriority w:val="39"/>
    <w:unhideWhenUsed/>
    <w:rPr>
      <w:lang w:eastAsia="zh-CN"/>
    </w:rPr>
  </w:style>
  <w:style w:type="paragraph" w:styleId="963">
    <w:name w:val="table of figures"/>
    <w:basedOn w:val="782"/>
    <w:next w:val="782"/>
    <w:uiPriority w:val="99"/>
    <w:unhideWhenUsed/>
  </w:style>
  <w:style w:type="paragraph" w:styleId="964" w:customStyle="1">
    <w:name w:val="ук-пр-рекви1"/>
    <w:basedOn w:val="782"/>
    <w:pPr>
      <w:jc w:val="center"/>
      <w:spacing w:line="204" w:lineRule="auto"/>
    </w:pPr>
    <w:rPr>
      <w:sz w:val="24"/>
      <w:szCs w:val="20"/>
    </w:rPr>
  </w:style>
  <w:style w:type="paragraph" w:styleId="965" w:customStyle="1">
    <w:name w:val="ук-наименование"/>
    <w:basedOn w:val="782"/>
    <w:pPr>
      <w:ind w:right="5395"/>
    </w:pPr>
    <w:rPr>
      <w:sz w:val="24"/>
      <w:szCs w:val="20"/>
    </w:rPr>
  </w:style>
  <w:style w:type="paragraph" w:styleId="966" w:customStyle="1">
    <w:name w:val="ук-заголовое-приложение"/>
    <w:basedOn w:val="782"/>
    <w:pPr>
      <w:contextualSpacing/>
      <w:ind w:left="3419"/>
      <w:jc w:val="right"/>
      <w:spacing w:after="400"/>
    </w:pPr>
    <w:rPr>
      <w:szCs w:val="20"/>
    </w:rPr>
  </w:style>
  <w:style w:type="paragraph" w:styleId="967" w:customStyle="1">
    <w:name w:val="ук-пи-кому"/>
    <w:basedOn w:val="965"/>
    <w:pPr>
      <w:ind w:right="-5"/>
    </w:pPr>
  </w:style>
  <w:style w:type="paragraph" w:styleId="968" w:customStyle="1">
    <w:name w:val="ук-пи-рекви2"/>
    <w:basedOn w:val="964"/>
    <w:pPr>
      <w:jc w:val="left"/>
    </w:pPr>
    <w:rPr>
      <w:rFonts w:ascii="Verdana" w:hAnsi="Verdana"/>
      <w:sz w:val="14"/>
      <w:szCs w:val="14"/>
    </w:rPr>
  </w:style>
  <w:style w:type="paragraph" w:styleId="969">
    <w:name w:val="Balloon Text"/>
    <w:basedOn w:val="782"/>
    <w:link w:val="970"/>
    <w:uiPriority w:val="99"/>
    <w:semiHidden/>
    <w:unhideWhenUsed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71">
    <w:name w:val="annotation reference"/>
    <w:uiPriority w:val="99"/>
    <w:semiHidden/>
    <w:unhideWhenUsed/>
    <w:rPr>
      <w:sz w:val="16"/>
      <w:szCs w:val="16"/>
    </w:rPr>
  </w:style>
  <w:style w:type="paragraph" w:styleId="972">
    <w:name w:val="annotation text"/>
    <w:basedOn w:val="782"/>
    <w:link w:val="973"/>
    <w:uiPriority w:val="99"/>
    <w:semiHidden/>
    <w:unhideWhenUsed/>
    <w:rPr>
      <w:sz w:val="20"/>
      <w:szCs w:val="20"/>
    </w:rPr>
  </w:style>
  <w:style w:type="character" w:styleId="973" w:customStyle="1">
    <w:name w:val="Текст примечания Знак"/>
    <w:link w:val="97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4">
    <w:name w:val="annotation subject"/>
    <w:basedOn w:val="972"/>
    <w:next w:val="972"/>
    <w:link w:val="975"/>
    <w:uiPriority w:val="99"/>
    <w:semiHidden/>
    <w:unhideWhenUsed/>
    <w:rPr>
      <w:b/>
      <w:bCs/>
    </w:rPr>
  </w:style>
  <w:style w:type="character" w:styleId="975" w:customStyle="1">
    <w:name w:val="Тема примечания Знак"/>
    <w:link w:val="97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76">
    <w:name w:val="Revision"/>
    <w:hidden/>
    <w:uiPriority w:val="99"/>
    <w:semiHidden/>
    <w:rPr>
      <w:rFonts w:ascii="Times New Roman" w:hAnsi="Times New Roman" w:eastAsia="Times New Roman"/>
      <w:sz w:val="28"/>
      <w:szCs w:val="28"/>
    </w:rPr>
  </w:style>
  <w:style w:type="character" w:styleId="977" w:customStyle="1">
    <w:name w:val="Верхний колонтитул Знак"/>
    <w:link w:val="81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78" w:customStyle="1">
    <w:name w:val="Нижний колонтитул Знак"/>
    <w:link w:val="816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79" w:customStyle="1">
    <w:name w:val="ук-подпись/табл"/>
    <w:basedOn w:val="782"/>
    <w:pPr>
      <w:jc w:val="both"/>
      <w:spacing w:after="120"/>
    </w:pPr>
    <w:rPr>
      <w:szCs w:val="20"/>
    </w:rPr>
  </w:style>
  <w:style w:type="paragraph" w:styleId="980" w:customStyle="1">
    <w:name w:val="ук-пи-обращение"/>
    <w:basedOn w:val="782"/>
    <w:pPr>
      <w:ind w:firstLine="720"/>
      <w:jc w:val="center"/>
      <w:spacing w:after="120"/>
    </w:pPr>
    <w:rPr>
      <w:szCs w:val="20"/>
    </w:rPr>
  </w:style>
  <w:style w:type="paragraph" w:styleId="981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82" w:customStyle="1">
    <w:name w:val="Текст сноски Знак"/>
    <w:link w:val="947"/>
    <w:uiPriority w:val="99"/>
    <w:semiHidden/>
    <w:rPr>
      <w:rFonts w:ascii="Times New Roman" w:hAnsi="Times New Roman" w:eastAsia="Times New Roman"/>
    </w:rPr>
  </w:style>
  <w:style w:type="character" w:styleId="983" w:customStyle="1">
    <w:name w:val="Текст концевой сноски Знак"/>
    <w:link w:val="950"/>
    <w:uiPriority w:val="99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Татьяна</dc:creator>
  <cp:lastModifiedBy>gonchar_ys</cp:lastModifiedBy>
  <cp:revision>27</cp:revision>
  <dcterms:created xsi:type="dcterms:W3CDTF">2023-07-12T14:37:00Z</dcterms:created>
  <dcterms:modified xsi:type="dcterms:W3CDTF">2025-08-21T00:04:48Z</dcterms:modified>
  <cp:version>1048576</cp:version>
</cp:coreProperties>
</file>